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contextualSpacing w:val="0"/>
        <w:jc w:val="center"/>
        <w:rPr>
          <w:rFonts w:ascii="Lemon" w:cs="Lemon" w:eastAsia="Lemon" w:hAnsi="Lemon"/>
          <w:sz w:val="32"/>
          <w:szCs w:val="32"/>
          <w:highlight w:val="white"/>
        </w:rPr>
      </w:pPr>
      <w:r w:rsidDel="00000000" w:rsidR="00000000" w:rsidRPr="00000000">
        <w:rPr>
          <w:rFonts w:ascii="Lemon" w:cs="Lemon" w:eastAsia="Lemon" w:hAnsi="Lemon"/>
          <w:sz w:val="32"/>
          <w:szCs w:val="32"/>
          <w:highlight w:val="white"/>
          <w:rtl w:val="0"/>
        </w:rPr>
        <w:t xml:space="preserve">Speech &amp; Language Information for 4th Grade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contextualSpacing w:val="0"/>
        <w:rPr>
          <w:rFonts w:ascii="Lemon" w:cs="Lemon" w:eastAsia="Lemon" w:hAnsi="Lemon"/>
          <w:sz w:val="28"/>
          <w:szCs w:val="28"/>
          <w:highlight w:val="white"/>
        </w:rPr>
      </w:pPr>
      <w:r w:rsidDel="00000000" w:rsidR="00000000" w:rsidRPr="00000000">
        <w:rPr>
          <w:rFonts w:ascii="Lemon" w:cs="Lemon" w:eastAsia="Lemon" w:hAnsi="Lemon"/>
          <w:sz w:val="28"/>
          <w:szCs w:val="28"/>
          <w:highlight w:val="white"/>
          <w:rtl w:val="0"/>
        </w:rPr>
        <w:t xml:space="preserve">How Does a Student Qualify?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According to the Wisconsin Department of Public Instruction:  Students can receive speech/language services in several different areas.  In all areas, the delay must significantly affect the student’s educational performance or social or emotional development. 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Language: In order to qualify for speech/language services to address language delays, students must receive scores at or below 1.75 standard deviations (SD) on formal test measures.  Further, the language delay must negatively impact oral communication.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Speech Sound Production: In order to qualify, a student must perform at or below 1.75 SD on a test of articulation or be unable to produce speech sounds when 90% of his or her peers are able to produce the sound.  These delays must also negatively impact the intelligibility (clarity) of the student’s speech. 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Voice:  Vocal impairment not due to short-term factors. 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rFonts w:ascii="Calibri" w:cs="Calibri" w:eastAsia="Calibri" w:hAnsi="Calibri"/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Fluency:  To qualify for services, the student must display speaking characteristics of a fluency disorder, such as part or whole-word repetition and prolongation of sounds.</w:t>
      </w:r>
      <w:r w:rsidDel="00000000" w:rsidR="00000000" w:rsidRPr="00000000">
        <w:rPr>
          <w:rFonts w:ascii="Calibri" w:cs="Calibri" w:eastAsia="Calibri" w:hAnsi="Calibri"/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contextualSpacing w:val="0"/>
        <w:rPr>
          <w:rFonts w:ascii="Lemon" w:cs="Lemon" w:eastAsia="Lemon" w:hAnsi="Lemon"/>
          <w:sz w:val="28"/>
          <w:szCs w:val="28"/>
          <w:highlight w:val="white"/>
        </w:rPr>
      </w:pPr>
      <w:r w:rsidDel="00000000" w:rsidR="00000000" w:rsidRPr="00000000">
        <w:rPr>
          <w:rFonts w:ascii="Lemon" w:cs="Lemon" w:eastAsia="Lemon" w:hAnsi="Lemon"/>
          <w:sz w:val="28"/>
          <w:szCs w:val="28"/>
          <w:highlight w:val="white"/>
          <w:rtl w:val="0"/>
        </w:rPr>
        <w:t xml:space="preserve">What is Expected of a 4th Grade Student?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According to guidelines set by the American Speech-Language-Hearing Association:  By the end of 4th grade, students should be able to do the following:</w:t>
      </w:r>
    </w:p>
    <w:tbl>
      <w:tblPr>
        <w:tblStyle w:val="Table1"/>
        <w:tblW w:w="10320.0" w:type="dxa"/>
        <w:jc w:val="left"/>
        <w:tblInd w:w="-1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0"/>
        <w:gridCol w:w="5790"/>
        <w:tblGridChange w:id="0">
          <w:tblGrid>
            <w:gridCol w:w="4530"/>
            <w:gridCol w:w="5790"/>
          </w:tblGrid>
        </w:tblGridChange>
      </w:tblGrid>
      <w:tr>
        <w:trPr>
          <w:trHeight w:val="4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160" w:lineRule="auto"/>
              <w:contextualSpacing w:val="0"/>
              <w:rPr>
                <w:rFonts w:ascii="Lemon" w:cs="Lemon" w:eastAsia="Lemon" w:hAnsi="Lemo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Lemon" w:cs="Lemon" w:eastAsia="Lemon" w:hAnsi="Lemon"/>
                <w:sz w:val="23"/>
                <w:szCs w:val="23"/>
                <w:highlight w:val="white"/>
                <w:rtl w:val="0"/>
              </w:rPr>
              <w:t xml:space="preserve">Understanding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-Use previously learned information to understand new material</w:t>
              <w:br w:type="textWrapping"/>
              <w:t xml:space="preserve">-Follow written directions</w:t>
              <w:br w:type="textWrapping"/>
              <w:t xml:space="preserve">-Link information learned to different subjects</w:t>
              <w:br w:type="textWrapping"/>
              <w:t xml:space="preserve">-Learn meanings of new words through knowledge of word origins, synonyms, and multiple meanings</w:t>
              <w:br w:type="textWrapping"/>
              <w:t xml:space="preserve">-Compare and contrast in content areas</w:t>
              <w:br w:type="textWrapping"/>
              <w:t xml:space="preserve">-Make inferences</w:t>
              <w:br w:type="textWrapping"/>
              <w:t xml:space="preserve">-Paraphrase content, including the main idea and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160" w:lineRule="auto"/>
              <w:contextualSpacing w:val="0"/>
              <w:rPr>
                <w:rFonts w:ascii="Lemon" w:cs="Lemon" w:eastAsia="Lemon" w:hAnsi="Lemo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Lemon" w:cs="Lemon" w:eastAsia="Lemon" w:hAnsi="Lemon"/>
                <w:sz w:val="23"/>
                <w:szCs w:val="23"/>
                <w:highlight w:val="white"/>
                <w:rtl w:val="0"/>
              </w:rPr>
              <w:t xml:space="preserve">Speaking</w:t>
            </w:r>
          </w:p>
          <w:p w:rsidR="00000000" w:rsidDel="00000000" w:rsidP="00000000" w:rsidRDefault="00000000" w:rsidRPr="00000000">
            <w:pPr>
              <w:spacing w:after="160" w:lineRule="auto"/>
              <w:contextualSpacing w:val="0"/>
              <w:rPr>
                <w:rFonts w:ascii="Lemon" w:cs="Lemon" w:eastAsia="Lemon" w:hAnsi="Lemo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-Use words appropriately in conversation</w:t>
              <w:br w:type="textWrapping"/>
              <w:t xml:space="preserve">-Use language effectively for a variety of purposes</w:t>
              <w:br w:type="textWrapping"/>
              <w:t xml:space="preserve">-Understand some figurative language </w:t>
              <w:br w:type="textWrapping"/>
              <w:t xml:space="preserve">-Participate in group discussions</w:t>
              <w:br w:type="textWrapping"/>
              <w:t xml:space="preserve">-Give accurate directions to others</w:t>
              <w:br w:type="textWrapping"/>
              <w:t xml:space="preserve">-Summarize and restate ideas</w:t>
              <w:br w:type="textWrapping"/>
              <w:t xml:space="preserve">-Organize information for clarity</w:t>
              <w:br w:type="textWrapping"/>
              <w:t xml:space="preserve">-Use subject area information and vocabulary for learning</w:t>
              <w:br w:type="textWrapping"/>
              <w:t xml:space="preserve">-Make effective oral presentations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160" w:lineRule="auto"/>
              <w:contextualSpacing w:val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Lemon" w:cs="Lemon" w:eastAsia="Lemon" w:hAnsi="Lemon"/>
                <w:sz w:val="23"/>
                <w:szCs w:val="23"/>
                <w:highlight w:val="white"/>
                <w:rtl w:val="0"/>
              </w:rPr>
              <w:t xml:space="preserve">Listening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-Listen to and understand information presented by others</w:t>
              <w:br w:type="textWrapping"/>
              <w:t xml:space="preserve">-Form opinions based on evidence</w:t>
              <w:br w:type="textWrapping"/>
              <w:t xml:space="preserve">-Listen for specific purposes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720" w:top="720" w:left="1152" w:right="115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Lemon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American Speech-Language Hearing Association. “Your Child’s Communication Development: Kindergarten Through Fifth Grade.” Your Child’s Communication Development. American Speech- Language Hearing Association, n.d. Web. 20 Feb. 2014</w:t>
    </w:r>
  </w:p>
  <w:p w:rsidR="00000000" w:rsidDel="00000000" w:rsidP="00000000" w:rsidRDefault="00000000" w:rsidRPr="00000000">
    <w:pPr>
      <w:contextualSpacing w:val="0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sz w:val="16"/>
        <w:szCs w:val="16"/>
        <w:rtl w:val="0"/>
      </w:rPr>
      <w:t xml:space="preserve">Wisconsin Department of Public Instruction. “Speech and Language Impairments Assessment and Decision Making Technical Assistance Guide,”  Wisconsin Department of Public Instruction, February 2003.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mon-regular.ttf"/></Relationships>
</file>